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9"/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Приложение </w:t>
      </w:r>
      <w:r/>
    </w:p>
    <w:p>
      <w:pPr>
        <w:pStyle w:val="829"/>
        <w:ind w:left="5811" w:right="0" w:firstLine="0"/>
        <w:jc w:val="both"/>
        <w:rPr>
          <w:rFonts w:ascii="Times New Roman" w:hAnsi="Times New Roman" w:cs="Times New Roman"/>
          <w:sz w:val="18"/>
          <w:szCs w:val="18"/>
        </w:rPr>
        <w:outlineLvl w:val="1"/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829"/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УТВЕРЖДЕНА</w:t>
      </w:r>
      <w:r/>
    </w:p>
    <w:p>
      <w:pPr>
        <w:pStyle w:val="829"/>
        <w:ind w:left="5386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 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Белореченский район</w:t>
      </w:r>
      <w:r/>
    </w:p>
    <w:p>
      <w:pPr>
        <w:pStyle w:val="829"/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от___________№_____</w:t>
      </w:r>
      <w:r/>
    </w:p>
    <w:p>
      <w:pPr>
        <w:pStyle w:val="829"/>
        <w:ind w:left="5811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spacing w:after="0" w:line="240" w:lineRule="auto"/>
        <w:rPr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spacing w:after="0" w:line="240" w:lineRule="auto"/>
        <w:rPr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spacing w:after="0" w:line="240" w:lineRule="auto"/>
        <w:rPr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spacing w:after="0" w:line="240" w:lineRule="auto"/>
        <w:rPr>
          <w:szCs w:val="28"/>
          <w:highlight w:val="none"/>
        </w:rPr>
      </w:pPr>
      <w:r/>
      <w:bookmarkStart w:id="0" w:name="P495"/>
      <w:r/>
      <w:bookmarkEnd w:id="0"/>
      <w:r>
        <w:rPr>
          <w:rFonts w:ascii="Times New Roman" w:hAnsi="Times New Roman" w:cs="Times New Roman" w:eastAsia="Calibri"/>
          <w:b/>
          <w:sz w:val="28"/>
          <w:szCs w:val="28"/>
        </w:rPr>
        <w:t xml:space="preserve">МУНИЦИПАЛЬНАЯ ПРОГРАММА МУНИЦИПАЛЬНОГО ОБРАЗОВАНИЯ БЕЛОРЕЧЕНСКИЙ РАЙОН </w:t>
      </w:r>
      <w:r>
        <w:t xml:space="preserve">                                                                      </w:t>
      </w:r>
      <w:r>
        <w:rPr>
          <w:bCs w:val="0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«ПОДДЕРЖКА СОЦИАЛЬНО ОРИЕНТИРОВАННЫХ НЕКОММЕРЧЕСКИХ ОРГАНИЗАЦИЙ» 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  <w:lang w:eastAsia="ru-RU"/>
        </w:rPr>
      </w:r>
      <w:r/>
    </w:p>
    <w:p>
      <w:pPr>
        <w:pStyle w:val="8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</w:t>
      </w:r>
      <w:r/>
    </w:p>
    <w:p>
      <w:pPr>
        <w:ind w:firstLine="142"/>
        <w:jc w:val="center"/>
        <w:spacing w:after="0" w:line="240" w:lineRule="auto"/>
        <w:rPr>
          <w:szCs w:val="28"/>
          <w:highlight w:val="none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муниципальной программы муниципального образования Белореченский район 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Поддержка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социально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ориентированных некоммерческих организаций»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142"/>
        <w:jc w:val="center"/>
        <w:spacing w:after="0" w:line="240" w:lineRule="auto"/>
        <w:rPr>
          <w:rFonts w:ascii="Times New Roman" w:hAnsi="Times New Roman" w:cs="Times New Roman" w:eastAsia="Calibri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963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969"/>
        <w:gridCol w:w="1275"/>
        <w:gridCol w:w="1078"/>
        <w:gridCol w:w="1077"/>
        <w:gridCol w:w="1191"/>
        <w:gridCol w:w="1049"/>
      </w:tblGrid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604" w:leader="none"/>
              </w:tabs>
            </w:pPr>
            <w:r>
              <w:t xml:space="preserve">администрация муниципального образов</w:t>
            </w:r>
            <w:r>
              <w:t xml:space="preserve">а</w:t>
            </w:r>
            <w:r>
              <w:t xml:space="preserve">ния Белореченский район, отдел по организационной и информационно-аналитической работе</w:t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подпрограмм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предусмотрены</w:t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pStyle w:val="840"/>
              <w:jc w:val="both"/>
              <w:tabs>
                <w:tab w:val="left" w:pos="604" w:leader="none"/>
              </w:tabs>
            </w:pPr>
            <w:r>
              <w:t xml:space="preserve">не предусмотрены</w:t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предусмотрены</w:t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предусмотрены</w:t>
            </w:r>
            <w:r/>
          </w:p>
        </w:tc>
      </w:tr>
      <w:tr>
        <w:trPr>
          <w:trHeight w:val="1299"/>
        </w:trPr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формирование благоприятных условий для осуществления деятельно</w:t>
            </w:r>
            <w:r>
              <w:rPr>
                <w:rFonts w:ascii="Times New Roman" w:hAnsi="Times New Roman" w:cs="Times New Roman"/>
                <w:sz w:val="28"/>
              </w:rPr>
              <w:t xml:space="preserve">сти социально ориентированных некоммерческих организаций на территории муниципального образования Белореченский район для народной сплоченности, воспитания подрастающего поколения в духе патриотизма, сохранения исторических, традиций казачества на Кубани,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повышение престижа военной службы, поддержка многодетных семей для улучшения демографии  </w:t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увеличение численности представителей казачества на территории района, пополнение казачьих классов в школах новыми юными казачатами, </w:t>
            </w:r>
            <w:r>
              <w:rPr>
                <w:rFonts w:ascii="Times New Roman" w:hAnsi="Times New Roman" w:cs="Times New Roman"/>
                <w:sz w:val="28"/>
              </w:rPr>
              <w:t xml:space="preserve">сохранение истории казачества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сохранение памяти о </w:t>
            </w:r>
            <w:r>
              <w:rPr>
                <w:rFonts w:ascii="Times New Roman" w:hAnsi="Times New Roman" w:cs="Times New Roman"/>
                <w:sz w:val="28"/>
              </w:rPr>
              <w:t xml:space="preserve">подвиге нашей страны в годы Великой Отечественной войны и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забота о ветеранах, участниках боевых действий и членах их семей;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t xml:space="preserve">поддержка многодетности, популяризация большой семьи, внимание к матерям с несовершеннолетними детьми</w:t>
            </w:r>
            <w:r>
              <w:rPr>
                <w:rFonts w:ascii="Times New Roman" w:hAnsi="Times New Roman" w:cs="Times New Roman"/>
                <w:sz w:val="28"/>
              </w:rPr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Увязка со стратегическими целями Стратегии социально-экономического развития муниципального образования Белореченский район&lt;1&gt;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—</w:t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pStyle w:val="825"/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оличество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социально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ориентированных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некоммерческих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организаций, которым оказана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ф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инансовая поддержка в районе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none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мероприятий, направленных на патриотическое воспитание граждан, сохранение традиций Кубанского казачества, памяти героического прошлого Кубани и России в годы Великой Отечественной войны;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highlight w:val="none"/>
              </w:rPr>
            </w:r>
            <w:r/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количество граждан, принимающих участие в деятельности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социально ориентированных некоммерческих орг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низаций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Cs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количество проведенных общественных акций и мероприятий с участием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социально ориентированных некоммерческих орг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низаций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Количество публикаций в СМИ и медиа источниках о деятельности СОНКО</w:t>
            </w: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Проекты и (или)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—</w:t>
            </w:r>
            <w:r/>
          </w:p>
        </w:tc>
      </w:tr>
      <w:tr>
        <w:trPr/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</w:t>
            </w:r>
            <w:r/>
          </w:p>
        </w:tc>
        <w:tc>
          <w:tcPr>
            <w:gridSpan w:val="5"/>
            <w:tcW w:w="56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годы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Объем финансирования муниципальной программы, тыс. рублей &lt;2&gt;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всего</w:t>
            </w:r>
            <w:r>
              <w:rPr>
                <w:sz w:val="27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в разрезе источников финансирования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Годы реализации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федеральный бюджет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краевой бюджет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местные бюджеты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внебюджетные источники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2024 год*</w:t>
            </w:r>
            <w:r>
              <w:rPr>
                <w:sz w:val="27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1-й год реализации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Calibri"/>
                <w:sz w:val="27"/>
                <w:szCs w:val="28"/>
                <w:highlight w:val="yellow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 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5 год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*</w:t>
            </w:r>
            <w:r>
              <w:rPr>
                <w:sz w:val="27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2-й год реализации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6 год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*</w:t>
            </w:r>
            <w:r>
              <w:rPr>
                <w:sz w:val="27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3-й год реализации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7 год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*</w:t>
            </w:r>
            <w:r>
              <w:rPr>
                <w:sz w:val="27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4-й год реализации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8 год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*</w:t>
            </w:r>
            <w:r>
              <w:rPr>
                <w:sz w:val="27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5-й год реализации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9 год</w:t>
            </w: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*</w:t>
            </w:r>
            <w:r>
              <w:rPr>
                <w:sz w:val="27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6-й год реализации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rPr>
                <w:sz w:val="27"/>
              </w:rPr>
            </w:pP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2050,</w:t>
            </w:r>
            <w:r>
              <w:rPr>
                <w:rFonts w:ascii="Times New Roman" w:hAnsi="Times New Roman" w:cs="Times New Roman" w:eastAsia="Calibri"/>
                <w:sz w:val="27"/>
                <w:szCs w:val="28"/>
              </w:rPr>
              <w:t xml:space="preserve">00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Всего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12300,00</w:t>
            </w:r>
            <w:r>
              <w:rPr>
                <w:rFonts w:ascii="Times New Roman" w:hAnsi="Times New Roman" w:cs="Times New Roman"/>
                <w:sz w:val="27"/>
                <w:szCs w:val="28"/>
              </w:rPr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12300,00</w:t>
            </w:r>
            <w:r>
              <w:rPr>
                <w:rFonts w:ascii="Times New Roman" w:hAnsi="Times New Roman" w:cs="Times New Roman"/>
                <w:sz w:val="27"/>
                <w:szCs w:val="28"/>
              </w:rPr>
            </w:r>
            <w:r>
              <w:rPr>
                <w:sz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 xml:space="preserve">-</w:t>
            </w:r>
            <w:r>
              <w:rPr>
                <w:sz w:val="27"/>
              </w:rPr>
            </w:r>
          </w:p>
        </w:tc>
      </w:tr>
      <w:tr>
        <w:trPr>
          <w:trHeight w:val="762"/>
        </w:trPr>
        <w:tc>
          <w:tcPr>
            <w:gridSpan w:val="6"/>
            <w:tcBorders>
              <w:top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ind w:firstLine="283"/>
              <w:jc w:val="both"/>
              <w:spacing w:after="0" w:line="240" w:lineRule="auto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0"/>
                <w:lang w:eastAsia="ru-RU"/>
              </w:rPr>
              <w:t xml:space="preserve">*</w:t>
            </w:r>
            <w:r>
              <w:rPr>
                <w:rFonts w:ascii="Times New Roman" w:hAnsi="Times New Roman"/>
                <w:sz w:val="22"/>
                <w:szCs w:val="28"/>
                <w:lang w:eastAsia="ru-RU"/>
              </w:rPr>
              <w:t xml:space="preserve">прогнозируемый показатель,</w:t>
            </w:r>
            <w:r>
              <w:rPr>
                <w:rFonts w:ascii="Times New Roman" w:hAnsi="Times New Roman"/>
                <w:sz w:val="22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8"/>
                <w:lang w:eastAsia="ru-RU"/>
              </w:rPr>
              <w:t xml:space="preserve">подлежащий уточнению при принятии решения о бюджете на соответствующий финансовый год.  </w:t>
            </w:r>
            <w:r>
              <w:rPr>
                <w:sz w:val="22"/>
              </w:rPr>
            </w:r>
            <w:r>
              <w:rPr>
                <w:rFonts w:ascii="Times New Roman" w:hAnsi="Times New Roman" w:cs="Times New Roman"/>
                <w:sz w:val="27"/>
                <w:szCs w:val="28"/>
              </w:rPr>
            </w:r>
            <w:r>
              <w:rPr>
                <w:sz w:val="27"/>
              </w:rPr>
            </w:r>
          </w:p>
        </w:tc>
      </w:tr>
    </w:tbl>
    <w:p>
      <w:pPr>
        <w:pStyle w:val="8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по организационной </w:t>
      </w:r>
      <w:r>
        <w:rPr>
          <w:sz w:val="28"/>
        </w:rPr>
      </w:r>
    </w:p>
    <w:p>
      <w:pPr>
        <w:pStyle w:val="8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 информационно-аналитической работе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делами </w:t>
      </w:r>
      <w:r>
        <w:rPr>
          <w:sz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sz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Белореченский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К.К. Ерошик 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  <w:r/>
  </w:p>
  <w:p>
    <w:pPr>
      <w:pStyle w:val="830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5"/>
    <w:next w:val="825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51">
    <w:name w:val="Heading 1 Char"/>
    <w:basedOn w:val="826"/>
    <w:link w:val="650"/>
    <w:uiPriority w:val="9"/>
    <w:rPr>
      <w:rFonts w:ascii="Arial" w:hAnsi="Arial" w:cs="Arial" w:eastAsia="Arial"/>
      <w:sz w:val="40"/>
      <w:szCs w:val="40"/>
    </w:rPr>
  </w:style>
  <w:style w:type="paragraph" w:styleId="652">
    <w:name w:val="Heading 2"/>
    <w:basedOn w:val="825"/>
    <w:next w:val="825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53">
    <w:name w:val="Heading 2 Char"/>
    <w:basedOn w:val="826"/>
    <w:link w:val="652"/>
    <w:uiPriority w:val="9"/>
    <w:rPr>
      <w:rFonts w:ascii="Arial" w:hAnsi="Arial" w:cs="Arial" w:eastAsia="Arial"/>
      <w:sz w:val="34"/>
    </w:rPr>
  </w:style>
  <w:style w:type="paragraph" w:styleId="654">
    <w:name w:val="Heading 3"/>
    <w:basedOn w:val="825"/>
    <w:next w:val="825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55">
    <w:name w:val="Heading 3 Char"/>
    <w:basedOn w:val="826"/>
    <w:link w:val="654"/>
    <w:uiPriority w:val="9"/>
    <w:rPr>
      <w:rFonts w:ascii="Arial" w:hAnsi="Arial" w:cs="Arial" w:eastAsia="Arial"/>
      <w:sz w:val="30"/>
      <w:szCs w:val="30"/>
    </w:rPr>
  </w:style>
  <w:style w:type="paragraph" w:styleId="656">
    <w:name w:val="Heading 4"/>
    <w:basedOn w:val="825"/>
    <w:next w:val="825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57">
    <w:name w:val="Heading 4 Char"/>
    <w:basedOn w:val="826"/>
    <w:link w:val="656"/>
    <w:uiPriority w:val="9"/>
    <w:rPr>
      <w:rFonts w:ascii="Arial" w:hAnsi="Arial" w:cs="Arial" w:eastAsia="Arial"/>
      <w:b/>
      <w:bCs/>
      <w:sz w:val="26"/>
      <w:szCs w:val="26"/>
    </w:rPr>
  </w:style>
  <w:style w:type="paragraph" w:styleId="658">
    <w:name w:val="Heading 5"/>
    <w:basedOn w:val="825"/>
    <w:next w:val="825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9">
    <w:name w:val="Heading 5 Char"/>
    <w:basedOn w:val="826"/>
    <w:link w:val="658"/>
    <w:uiPriority w:val="9"/>
    <w:rPr>
      <w:rFonts w:ascii="Arial" w:hAnsi="Arial" w:cs="Arial" w:eastAsia="Arial"/>
      <w:b/>
      <w:bCs/>
      <w:sz w:val="24"/>
      <w:szCs w:val="24"/>
    </w:rPr>
  </w:style>
  <w:style w:type="paragraph" w:styleId="660">
    <w:name w:val="Heading 6"/>
    <w:basedOn w:val="825"/>
    <w:next w:val="825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61">
    <w:name w:val="Heading 6 Char"/>
    <w:basedOn w:val="826"/>
    <w:link w:val="660"/>
    <w:uiPriority w:val="9"/>
    <w:rPr>
      <w:rFonts w:ascii="Arial" w:hAnsi="Arial" w:cs="Arial" w:eastAsia="Arial"/>
      <w:b/>
      <w:bCs/>
      <w:sz w:val="22"/>
      <w:szCs w:val="22"/>
    </w:rPr>
  </w:style>
  <w:style w:type="paragraph" w:styleId="662">
    <w:name w:val="Heading 7"/>
    <w:basedOn w:val="825"/>
    <w:next w:val="825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63">
    <w:name w:val="Heading 7 Char"/>
    <w:basedOn w:val="826"/>
    <w:link w:val="66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4">
    <w:name w:val="Heading 8"/>
    <w:basedOn w:val="825"/>
    <w:next w:val="825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65">
    <w:name w:val="Heading 8 Char"/>
    <w:basedOn w:val="826"/>
    <w:link w:val="664"/>
    <w:uiPriority w:val="9"/>
    <w:rPr>
      <w:rFonts w:ascii="Arial" w:hAnsi="Arial" w:cs="Arial" w:eastAsia="Arial"/>
      <w:i/>
      <w:iCs/>
      <w:sz w:val="22"/>
      <w:szCs w:val="22"/>
    </w:rPr>
  </w:style>
  <w:style w:type="paragraph" w:styleId="666">
    <w:name w:val="Heading 9"/>
    <w:basedOn w:val="825"/>
    <w:next w:val="825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7">
    <w:name w:val="Heading 9 Char"/>
    <w:basedOn w:val="826"/>
    <w:link w:val="666"/>
    <w:uiPriority w:val="9"/>
    <w:rPr>
      <w:rFonts w:ascii="Arial" w:hAnsi="Arial" w:cs="Arial" w:eastAsia="Arial"/>
      <w:i/>
      <w:iCs/>
      <w:sz w:val="21"/>
      <w:szCs w:val="21"/>
    </w:rPr>
  </w:style>
  <w:style w:type="paragraph" w:styleId="668">
    <w:name w:val="No Spacing"/>
    <w:uiPriority w:val="1"/>
    <w:qFormat/>
    <w:pPr>
      <w:spacing w:before="0" w:after="0" w:line="240" w:lineRule="auto"/>
    </w:pPr>
  </w:style>
  <w:style w:type="paragraph" w:styleId="669">
    <w:name w:val="Title"/>
    <w:basedOn w:val="825"/>
    <w:next w:val="825"/>
    <w:link w:val="6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0">
    <w:name w:val="Title Char"/>
    <w:basedOn w:val="826"/>
    <w:link w:val="669"/>
    <w:uiPriority w:val="10"/>
    <w:rPr>
      <w:sz w:val="48"/>
      <w:szCs w:val="48"/>
    </w:rPr>
  </w:style>
  <w:style w:type="paragraph" w:styleId="671">
    <w:name w:val="Subtitle"/>
    <w:basedOn w:val="825"/>
    <w:next w:val="825"/>
    <w:link w:val="672"/>
    <w:uiPriority w:val="11"/>
    <w:qFormat/>
    <w:pPr>
      <w:spacing w:before="200" w:after="200"/>
    </w:pPr>
    <w:rPr>
      <w:sz w:val="24"/>
      <w:szCs w:val="24"/>
    </w:rPr>
  </w:style>
  <w:style w:type="character" w:styleId="672">
    <w:name w:val="Subtitle Char"/>
    <w:basedOn w:val="826"/>
    <w:link w:val="671"/>
    <w:uiPriority w:val="11"/>
    <w:rPr>
      <w:sz w:val="24"/>
      <w:szCs w:val="24"/>
    </w:rPr>
  </w:style>
  <w:style w:type="paragraph" w:styleId="673">
    <w:name w:val="Quote"/>
    <w:basedOn w:val="825"/>
    <w:next w:val="825"/>
    <w:link w:val="674"/>
    <w:uiPriority w:val="29"/>
    <w:qFormat/>
    <w:pPr>
      <w:ind w:left="720" w:right="720"/>
    </w:pPr>
    <w:rPr>
      <w:i/>
    </w:rPr>
  </w:style>
  <w:style w:type="character" w:styleId="674">
    <w:name w:val="Quote Char"/>
    <w:link w:val="673"/>
    <w:uiPriority w:val="29"/>
    <w:rPr>
      <w:i/>
    </w:rPr>
  </w:style>
  <w:style w:type="paragraph" w:styleId="675">
    <w:name w:val="Intense Quote"/>
    <w:basedOn w:val="825"/>
    <w:next w:val="825"/>
    <w:link w:val="6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6">
    <w:name w:val="Intense Quote Char"/>
    <w:link w:val="675"/>
    <w:uiPriority w:val="30"/>
    <w:rPr>
      <w:i/>
    </w:rPr>
  </w:style>
  <w:style w:type="character" w:styleId="677">
    <w:name w:val="Header Char"/>
    <w:basedOn w:val="826"/>
    <w:link w:val="830"/>
    <w:uiPriority w:val="99"/>
  </w:style>
  <w:style w:type="character" w:styleId="678">
    <w:name w:val="Footer Char"/>
    <w:basedOn w:val="826"/>
    <w:link w:val="832"/>
    <w:uiPriority w:val="99"/>
  </w:style>
  <w:style w:type="paragraph" w:styleId="679">
    <w:name w:val="Caption"/>
    <w:basedOn w:val="825"/>
    <w:next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0">
    <w:name w:val="Caption Char"/>
    <w:basedOn w:val="679"/>
    <w:link w:val="832"/>
    <w:uiPriority w:val="99"/>
  </w:style>
  <w:style w:type="table" w:styleId="681">
    <w:name w:val="Table Grid"/>
    <w:basedOn w:val="8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Table Grid Light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7">
    <w:name w:val="Hyperlink"/>
    <w:uiPriority w:val="99"/>
    <w:unhideWhenUsed/>
    <w:rPr>
      <w:color w:val="0000FF" w:themeColor="hyperlink"/>
      <w:u w:val="single"/>
    </w:rPr>
  </w:style>
  <w:style w:type="paragraph" w:styleId="808">
    <w:name w:val="footnote text"/>
    <w:basedOn w:val="825"/>
    <w:link w:val="809"/>
    <w:uiPriority w:val="99"/>
    <w:semiHidden/>
    <w:unhideWhenUsed/>
    <w:pPr>
      <w:spacing w:after="40" w:line="240" w:lineRule="auto"/>
    </w:pPr>
    <w:rPr>
      <w:sz w:val="18"/>
    </w:rPr>
  </w:style>
  <w:style w:type="character" w:styleId="809">
    <w:name w:val="Footnote Text Char"/>
    <w:link w:val="808"/>
    <w:uiPriority w:val="99"/>
    <w:rPr>
      <w:sz w:val="18"/>
    </w:rPr>
  </w:style>
  <w:style w:type="character" w:styleId="810">
    <w:name w:val="footnote reference"/>
    <w:basedOn w:val="826"/>
    <w:uiPriority w:val="99"/>
    <w:unhideWhenUsed/>
    <w:rPr>
      <w:vertAlign w:val="superscript"/>
    </w:rPr>
  </w:style>
  <w:style w:type="paragraph" w:styleId="811">
    <w:name w:val="endnote text"/>
    <w:basedOn w:val="825"/>
    <w:link w:val="812"/>
    <w:uiPriority w:val="99"/>
    <w:semiHidden/>
    <w:unhideWhenUsed/>
    <w:pPr>
      <w:spacing w:after="0" w:line="240" w:lineRule="auto"/>
    </w:pPr>
    <w:rPr>
      <w:sz w:val="20"/>
    </w:rPr>
  </w:style>
  <w:style w:type="character" w:styleId="812">
    <w:name w:val="Endnote Text Char"/>
    <w:link w:val="811"/>
    <w:uiPriority w:val="99"/>
    <w:rPr>
      <w:sz w:val="20"/>
    </w:rPr>
  </w:style>
  <w:style w:type="character" w:styleId="813">
    <w:name w:val="endnote reference"/>
    <w:basedOn w:val="826"/>
    <w:uiPriority w:val="99"/>
    <w:semiHidden/>
    <w:unhideWhenUsed/>
    <w:rPr>
      <w:vertAlign w:val="superscript"/>
    </w:rPr>
  </w:style>
  <w:style w:type="paragraph" w:styleId="814">
    <w:name w:val="toc 1"/>
    <w:basedOn w:val="825"/>
    <w:next w:val="825"/>
    <w:uiPriority w:val="39"/>
    <w:unhideWhenUsed/>
    <w:pPr>
      <w:ind w:left="0" w:right="0" w:firstLine="0"/>
      <w:spacing w:after="57"/>
    </w:pPr>
  </w:style>
  <w:style w:type="paragraph" w:styleId="815">
    <w:name w:val="toc 2"/>
    <w:basedOn w:val="825"/>
    <w:next w:val="825"/>
    <w:uiPriority w:val="39"/>
    <w:unhideWhenUsed/>
    <w:pPr>
      <w:ind w:left="283" w:right="0" w:firstLine="0"/>
      <w:spacing w:after="57"/>
    </w:pPr>
  </w:style>
  <w:style w:type="paragraph" w:styleId="816">
    <w:name w:val="toc 3"/>
    <w:basedOn w:val="825"/>
    <w:next w:val="825"/>
    <w:uiPriority w:val="39"/>
    <w:unhideWhenUsed/>
    <w:pPr>
      <w:ind w:left="567" w:right="0" w:firstLine="0"/>
      <w:spacing w:after="57"/>
    </w:pPr>
  </w:style>
  <w:style w:type="paragraph" w:styleId="817">
    <w:name w:val="toc 4"/>
    <w:basedOn w:val="825"/>
    <w:next w:val="825"/>
    <w:uiPriority w:val="39"/>
    <w:unhideWhenUsed/>
    <w:pPr>
      <w:ind w:left="850" w:right="0" w:firstLine="0"/>
      <w:spacing w:after="57"/>
    </w:pPr>
  </w:style>
  <w:style w:type="paragraph" w:styleId="818">
    <w:name w:val="toc 5"/>
    <w:basedOn w:val="825"/>
    <w:next w:val="825"/>
    <w:uiPriority w:val="39"/>
    <w:unhideWhenUsed/>
    <w:pPr>
      <w:ind w:left="1134" w:right="0" w:firstLine="0"/>
      <w:spacing w:after="57"/>
    </w:pPr>
  </w:style>
  <w:style w:type="paragraph" w:styleId="819">
    <w:name w:val="toc 6"/>
    <w:basedOn w:val="825"/>
    <w:next w:val="825"/>
    <w:uiPriority w:val="39"/>
    <w:unhideWhenUsed/>
    <w:pPr>
      <w:ind w:left="1417" w:right="0" w:firstLine="0"/>
      <w:spacing w:after="57"/>
    </w:pPr>
  </w:style>
  <w:style w:type="paragraph" w:styleId="820">
    <w:name w:val="toc 7"/>
    <w:basedOn w:val="825"/>
    <w:next w:val="825"/>
    <w:uiPriority w:val="39"/>
    <w:unhideWhenUsed/>
    <w:pPr>
      <w:ind w:left="1701" w:right="0" w:firstLine="0"/>
      <w:spacing w:after="57"/>
    </w:pPr>
  </w:style>
  <w:style w:type="paragraph" w:styleId="821">
    <w:name w:val="toc 8"/>
    <w:basedOn w:val="825"/>
    <w:next w:val="825"/>
    <w:uiPriority w:val="39"/>
    <w:unhideWhenUsed/>
    <w:pPr>
      <w:ind w:left="1984" w:right="0" w:firstLine="0"/>
      <w:spacing w:after="57"/>
    </w:pPr>
  </w:style>
  <w:style w:type="paragraph" w:styleId="822">
    <w:name w:val="toc 9"/>
    <w:basedOn w:val="825"/>
    <w:next w:val="825"/>
    <w:uiPriority w:val="39"/>
    <w:unhideWhenUsed/>
    <w:pPr>
      <w:ind w:left="2268" w:right="0" w:firstLine="0"/>
      <w:spacing w:after="57"/>
    </w:pPr>
  </w:style>
  <w:style w:type="paragraph" w:styleId="823">
    <w:name w:val="TOC Heading"/>
    <w:uiPriority w:val="39"/>
    <w:unhideWhenUsed/>
  </w:style>
  <w:style w:type="paragraph" w:styleId="824">
    <w:name w:val="table of figures"/>
    <w:basedOn w:val="825"/>
    <w:next w:val="825"/>
    <w:uiPriority w:val="99"/>
    <w:unhideWhenUsed/>
    <w:pPr>
      <w:spacing w:after="0" w:afterAutospacing="0"/>
    </w:pPr>
  </w:style>
  <w:style w:type="paragraph" w:styleId="825" w:default="1">
    <w:name w:val="Normal"/>
    <w:qFormat/>
  </w:style>
  <w:style w:type="character" w:styleId="826" w:default="1">
    <w:name w:val="Default Paragraph Font"/>
    <w:uiPriority w:val="1"/>
    <w:semiHidden/>
    <w:unhideWhenUsed/>
  </w:style>
  <w:style w:type="table" w:styleId="8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8" w:default="1">
    <w:name w:val="No List"/>
    <w:uiPriority w:val="99"/>
    <w:semiHidden/>
    <w:unhideWhenUsed/>
  </w:style>
  <w:style w:type="paragraph" w:styleId="829" w:customStyle="1">
    <w:name w:val="ConsPlusNormal"/>
    <w:pPr>
      <w:spacing w:after="0" w:line="240" w:lineRule="auto"/>
      <w:widowControl w:val="off"/>
    </w:pPr>
    <w:rPr>
      <w:rFonts w:ascii="Calibri" w:hAnsi="Calibri" w:cs="Calibri" w:eastAsia="Times New Roman"/>
      <w:szCs w:val="20"/>
      <w:lang w:eastAsia="ru-RU"/>
    </w:rPr>
  </w:style>
  <w:style w:type="paragraph" w:styleId="830">
    <w:name w:val="Header"/>
    <w:basedOn w:val="825"/>
    <w:link w:val="83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1" w:customStyle="1">
    <w:name w:val="Верхний колонтитул Знак"/>
    <w:basedOn w:val="826"/>
    <w:link w:val="830"/>
    <w:uiPriority w:val="99"/>
  </w:style>
  <w:style w:type="paragraph" w:styleId="832">
    <w:name w:val="Footer"/>
    <w:basedOn w:val="825"/>
    <w:link w:val="83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3" w:customStyle="1">
    <w:name w:val="Нижний колонтитул Знак"/>
    <w:basedOn w:val="826"/>
    <w:link w:val="832"/>
    <w:uiPriority w:val="99"/>
  </w:style>
  <w:style w:type="paragraph" w:styleId="834">
    <w:name w:val="Balloon Text"/>
    <w:basedOn w:val="825"/>
    <w:link w:val="83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5" w:customStyle="1">
    <w:name w:val="Текст выноски Знак"/>
    <w:basedOn w:val="826"/>
    <w:link w:val="834"/>
    <w:uiPriority w:val="99"/>
    <w:semiHidden/>
    <w:rPr>
      <w:rFonts w:ascii="Tahoma" w:hAnsi="Tahoma" w:cs="Tahoma"/>
      <w:sz w:val="16"/>
      <w:szCs w:val="16"/>
    </w:rPr>
  </w:style>
  <w:style w:type="paragraph" w:styleId="836">
    <w:name w:val="Normal (Web)"/>
    <w:basedOn w:val="82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837">
    <w:name w:val="List Paragraph"/>
    <w:basedOn w:val="825"/>
    <w:uiPriority w:val="34"/>
    <w:qFormat/>
    <w:pPr>
      <w:contextualSpacing/>
      <w:ind w:left="720"/>
    </w:pPr>
  </w:style>
  <w:style w:type="paragraph" w:styleId="838" w:customStyle="1">
    <w:name w:val="Нормальный (таблица)"/>
    <w:basedOn w:val="825"/>
    <w:next w:val="825"/>
    <w:uiPriority w:val="99"/>
    <w:pPr>
      <w:jc w:val="both"/>
      <w:spacing w:after="0" w:line="240" w:lineRule="auto"/>
      <w:widowControl w:val="off"/>
    </w:pPr>
    <w:rPr>
      <w:rFonts w:ascii="Arial" w:hAnsi="Arial" w:cs="Arial" w:eastAsia="Times New Roman"/>
      <w:sz w:val="26"/>
      <w:szCs w:val="26"/>
      <w:lang w:eastAsia="ru-RU"/>
    </w:rPr>
  </w:style>
  <w:style w:type="paragraph" w:styleId="839">
    <w:name w:val="Основной текст (3)"/>
    <w:pPr>
      <w:contextualSpacing w:val="0"/>
      <w:ind w:left="0" w:right="0" w:firstLine="0"/>
      <w:jc w:val="center"/>
      <w:keepLines w:val="0"/>
      <w:keepNext w:val="0"/>
      <w:pageBreakBefore w:val="0"/>
      <w:spacing w:before="540" w:beforeAutospacing="0" w:after="240" w:afterAutospacing="0" w:line="31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/>
      <w:bCs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ar-SA" w:eastAsia="ru-RU"/>
    </w:rPr>
  </w:style>
  <w:style w:type="paragraph" w:styleId="840">
    <w:name w:val="Название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8"/>
      <w:szCs w:val="28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6C032470-71E6-48E8-9EAB-E405811C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revision>15</cp:revision>
  <dcterms:created xsi:type="dcterms:W3CDTF">2023-09-14T12:12:00Z</dcterms:created>
  <dcterms:modified xsi:type="dcterms:W3CDTF">2023-12-18T14:07:58Z</dcterms:modified>
</cp:coreProperties>
</file>