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316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316 «Об утверждении Административного регламента по предоставлению муниципальной услуги «Принятие на учет граждан в</w:t>
      </w:r>
      <w:proofErr w:type="gramEnd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>качестве</w:t>
      </w:r>
      <w:proofErr w:type="gramEnd"/>
      <w:r w:rsidR="00D22D85" w:rsidRPr="00D22D85">
        <w:rPr>
          <w:rFonts w:ascii="Times New Roman" w:hAnsi="Times New Roman" w:cs="Times New Roman"/>
          <w:b w:val="0"/>
          <w:sz w:val="28"/>
          <w:szCs w:val="28"/>
        </w:rPr>
        <w:t xml:space="preserve"> нуждающихся в жилых помещениях, предоставляемых по договорам социального найма»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D22D85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D22D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95</cp:revision>
  <cp:lastPrinted>2021-12-01T13:05:00Z</cp:lastPrinted>
  <dcterms:created xsi:type="dcterms:W3CDTF">2021-12-01T08:31:00Z</dcterms:created>
  <dcterms:modified xsi:type="dcterms:W3CDTF">2023-02-03T07:05:00Z</dcterms:modified>
</cp:coreProperties>
</file>