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0E2CC0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имущественных отношений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 xml:space="preserve"> район от 18 ноября 2022 г. № 1663 «О предоставлении отсрочки уплаты арендной платы по договорам аренды земельных участков, договоров аренды муниципального имущества, находящихся в государственной собственности, и собственности муниципального образования </w:t>
      </w:r>
      <w:proofErr w:type="spellStart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 xml:space="preserve"> район, на период прохождения военной службы или оказания добровольного содействия в выполнении задач, возложенных на Вооруженные Силы</w:t>
      </w:r>
      <w:proofErr w:type="gramEnd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 xml:space="preserve"> район от 18 ноября 2022 г. № 1663 «О предоставлении отсрочки уплаты арендной платы по договорам аренды земельных участков, договоров аренды</w:t>
      </w:r>
      <w:proofErr w:type="gramEnd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имущества, находящихся в государственной собственности, и собственности муниципального образования </w:t>
      </w:r>
      <w:proofErr w:type="spellStart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E2CC0" w:rsidRPr="000E2CC0">
        <w:rPr>
          <w:rFonts w:ascii="Times New Roman" w:hAnsi="Times New Roman" w:cs="Times New Roman"/>
          <w:b w:val="0"/>
          <w:sz w:val="28"/>
          <w:szCs w:val="28"/>
        </w:rPr>
        <w:t xml:space="preserve"> район, на период прохождения военной службы или оказания добровольного содействия в выполнении задач, возложенных на Вооруженные Силы Российской Федерации»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0E2CC0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866D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0E2CC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0E2CC0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4D0EA4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F265A"/>
    <w:rsid w:val="00B07B92"/>
    <w:rsid w:val="00B758D6"/>
    <w:rsid w:val="00B866D0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97</cp:revision>
  <cp:lastPrinted>2023-03-06T07:43:00Z</cp:lastPrinted>
  <dcterms:created xsi:type="dcterms:W3CDTF">2021-12-01T08:31:00Z</dcterms:created>
  <dcterms:modified xsi:type="dcterms:W3CDTF">2023-03-13T07:24:00Z</dcterms:modified>
</cp:coreProperties>
</file>