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3186 «Об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 район, включая подведомственные казенные учреждения»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3186 «Об утверждении Правил определения нормативных затрат на обеспечение функций муниципальных органов муниципального образования</w:t>
      </w:r>
      <w:proofErr w:type="gramEnd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0990" w:rsidRPr="00A50990">
        <w:rPr>
          <w:rFonts w:ascii="Times New Roman" w:hAnsi="Times New Roman" w:cs="Times New Roman"/>
          <w:b w:val="0"/>
          <w:sz w:val="28"/>
          <w:szCs w:val="28"/>
        </w:rPr>
        <w:t xml:space="preserve"> район, включая подведомственные казенные учреждения»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0990"/>
    <w:rsid w:val="00B07B92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97</cp:revision>
  <cp:lastPrinted>2021-12-01T13:05:00Z</cp:lastPrinted>
  <dcterms:created xsi:type="dcterms:W3CDTF">2021-12-01T08:31:00Z</dcterms:created>
  <dcterms:modified xsi:type="dcterms:W3CDTF">2023-09-13T08:42:00Z</dcterms:modified>
</cp:coreProperties>
</file>