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6929C3" w:rsidRDefault="00FF2F88" w:rsidP="006929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002FC1" w:rsidRPr="00002FC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02FC1" w:rsidRPr="00002FC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02FC1" w:rsidRPr="00002FC1">
        <w:rPr>
          <w:rFonts w:ascii="Times New Roman" w:hAnsi="Times New Roman" w:cs="Times New Roman"/>
          <w:sz w:val="28"/>
          <w:szCs w:val="28"/>
        </w:rPr>
        <w:t xml:space="preserve"> район от 9 декабря 2019 г. № 3000 «Об утверждении комплексной схемы организации дорожного движения </w:t>
      </w:r>
    </w:p>
    <w:p w:rsidR="004A558F" w:rsidRPr="004A558F" w:rsidRDefault="00002FC1" w:rsidP="006929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02F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02FC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002FC1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002FC1" w:rsidRPr="00002FC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02FC1" w:rsidRPr="00002FC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02FC1" w:rsidRPr="00002FC1">
        <w:rPr>
          <w:rFonts w:ascii="Times New Roman" w:hAnsi="Times New Roman" w:cs="Times New Roman"/>
          <w:sz w:val="28"/>
          <w:szCs w:val="28"/>
        </w:rPr>
        <w:t xml:space="preserve"> район от 9 декабря 2019 г. № 3000 «Об утверждении комплексной схемы организации дорожного движения на территории </w:t>
      </w:r>
      <w:proofErr w:type="spellStart"/>
      <w:r w:rsidR="00002FC1" w:rsidRPr="00002FC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02FC1" w:rsidRPr="00002FC1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proofErr w:type="gram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D10DF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cp:lastPrinted>2022-11-25T07:42:00Z</cp:lastPrinted>
  <dcterms:created xsi:type="dcterms:W3CDTF">2021-12-01T08:31:00Z</dcterms:created>
  <dcterms:modified xsi:type="dcterms:W3CDTF">2022-11-25T07:42:00Z</dcterms:modified>
</cp:coreProperties>
</file>