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FB" w:rsidRDefault="00DE70FB" w:rsidP="00DE70FB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Управление  архитектуры и градостроительства  </w:t>
      </w:r>
    </w:p>
    <w:p w:rsidR="00DE70FB" w:rsidRDefault="00DE70FB" w:rsidP="00DE70FB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DE70FB" w:rsidRDefault="00DE70FB" w:rsidP="00DE70FB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DE70FB" w:rsidRDefault="00DE70FB" w:rsidP="00DE70FB">
      <w:r>
        <w:rPr>
          <w:rStyle w:val="s10"/>
          <w:sz w:val="28"/>
          <w:szCs w:val="28"/>
        </w:rPr>
        <w:t xml:space="preserve">                        </w:t>
      </w:r>
    </w:p>
    <w:p w:rsidR="00DE70FB" w:rsidRDefault="00DE70FB" w:rsidP="00DE70F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E70FB" w:rsidRDefault="00DE70FB" w:rsidP="00DE70F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E70FB" w:rsidRDefault="00DE70FB" w:rsidP="00DE70FB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E70FB" w:rsidRDefault="00DE70FB" w:rsidP="00DE70F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DE70FB" w:rsidRDefault="00DE70FB" w:rsidP="00DE70F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E70FB" w:rsidRDefault="00DE70FB" w:rsidP="00DE70F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 разрешения  на условно разрешенный вид использования  земельного участка или объекта  капитального строительства»</w:t>
      </w:r>
    </w:p>
    <w:p w:rsidR="00DE70FB" w:rsidRDefault="00DE70FB" w:rsidP="00DE70F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70FB" w:rsidRDefault="00DE70FB" w:rsidP="00DE70F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DE70FB" w:rsidRDefault="00DE70FB" w:rsidP="00DE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 разрешения  на условно разрешенный вид использования  земельного участка или объекта  капитального строительства»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DE70FB" w:rsidRDefault="00DE70FB" w:rsidP="00DE7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CBB" w:rsidRPr="00787CBB" w:rsidRDefault="00787CBB" w:rsidP="008A4141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 пункта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2.6 проекта  в качестве документов,  подлежащих предоставлению заявителем, предусмотрено предоставление  заключения  ИП или юридического лица, которые являются  членами саморегулируемых организаций  в области архитектурно-строительного  проектирования, о возможности  использования земельного участка или объекта строительства. Градостроительным кодексом Российской Федерации и Федеральным законом </w:t>
      </w:r>
      <w:r w:rsidRPr="0078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27.07.2010 </w:t>
      </w:r>
      <w:r w:rsidR="008A4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Pr="00787C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4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предусмотрена обязательность предоставления заявителем указанного документа.  </w:t>
      </w:r>
    </w:p>
    <w:p w:rsidR="0042001D" w:rsidRPr="00572461" w:rsidRDefault="0042001D" w:rsidP="008A414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2461">
        <w:rPr>
          <w:rFonts w:ascii="Times New Roman" w:hAnsi="Times New Roman" w:cs="Times New Roman"/>
          <w:sz w:val="28"/>
          <w:szCs w:val="28"/>
        </w:rPr>
        <w:t xml:space="preserve">В разделе 3 проекта Административного регламента  процедура предоставления  муниципальной услуги в части  проведения публичных слушаний  не должна противоречить  статьям 11, 12,13, 17, 27 утвержденного решением Совета муниципального образования </w:t>
      </w:r>
      <w:proofErr w:type="spellStart"/>
      <w:r w:rsidRPr="0057246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7246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lastRenderedPageBreak/>
        <w:t xml:space="preserve">Положению 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общественных обсуждениях и</w:t>
      </w:r>
      <w:r w:rsidRPr="0057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7246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убл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чн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 с</w:t>
      </w:r>
      <w:r w:rsidRPr="005724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л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57246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ш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</w:t>
      </w:r>
      <w:r w:rsidRPr="0057246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н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</w:t>
      </w:r>
      <w:r w:rsidRPr="005724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я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7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724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24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м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уни</w:t>
      </w:r>
      <w:r w:rsidRPr="0057246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ц</w:t>
      </w:r>
      <w:r w:rsidRPr="0057246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и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пально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7246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об</w:t>
      </w:r>
      <w:r w:rsidRPr="0057246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</w:t>
      </w:r>
      <w:r w:rsidRPr="0057246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азова</w:t>
      </w:r>
      <w:r w:rsidRPr="0057246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ни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724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572461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Б</w:t>
      </w:r>
      <w:r w:rsidRPr="0057246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е</w:t>
      </w:r>
      <w:r w:rsidRPr="0057246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л</w:t>
      </w:r>
      <w:r w:rsidRPr="005724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о</w:t>
      </w:r>
      <w:r w:rsidRPr="00572461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р</w:t>
      </w:r>
      <w:r w:rsidRPr="0057246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е</w:t>
      </w:r>
      <w:r w:rsidRPr="0057246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ч</w:t>
      </w:r>
      <w:r w:rsidRPr="005724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е</w:t>
      </w:r>
      <w:r w:rsidRPr="0057246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н</w:t>
      </w:r>
      <w:r w:rsidRPr="005724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>с</w:t>
      </w:r>
      <w:r w:rsidRPr="0057246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ки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Pr="0057246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</w:t>
      </w:r>
      <w:r w:rsidRPr="0057246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</w:t>
      </w:r>
    </w:p>
    <w:p w:rsidR="0042001D" w:rsidRDefault="0042001D" w:rsidP="008A414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 3.2.4. проекта  противоречит  части 1 статьи 39 Градостроительного кодекса Российской Федерации</w:t>
      </w:r>
      <w:r w:rsid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которо</w:t>
      </w:r>
      <w:r w:rsid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2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заявление о предоставлении муниципальной услуги направляется в комиссию.</w:t>
      </w:r>
    </w:p>
    <w:p w:rsidR="00572461" w:rsidRDefault="00572461" w:rsidP="008A414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Сроки  оповещения   жителей о проводимых публичных слушаниях  через СМИ </w:t>
      </w:r>
      <w:r w:rsidR="00EE48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пункте 3.3.5 проекта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соответствуют  части 4 статьи 39 Градостроительного кодекса Российской Федерации.</w:t>
      </w:r>
    </w:p>
    <w:p w:rsidR="00572461" w:rsidRPr="0042001D" w:rsidRDefault="00A51141" w:rsidP="008A414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Административного регламента имеет пробелы. В пункте 3.3.  проекта не установлен критерий принятия</w:t>
      </w:r>
      <w:r w:rsidR="00436F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решения. В пункте 3.4.  проекта не установлен  критерий принятия решения и способ фиксации.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DE70FB" w:rsidRDefault="00DE70FB" w:rsidP="008A4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наличии  нормативных коллизий - противоречий, в том числе внутренних, между нормами, создающими  возможность произвольного выбора норм, подлежащих применению в конкретном случае, </w:t>
      </w:r>
      <w:r w:rsidR="00045B10">
        <w:rPr>
          <w:rFonts w:ascii="Times New Roman" w:hAnsi="Times New Roman" w:cs="Times New Roman"/>
          <w:sz w:val="28"/>
          <w:szCs w:val="28"/>
        </w:rPr>
        <w:t xml:space="preserve"> при неполноте административных процедур - 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порядка,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="00045B10">
        <w:rPr>
          <w:rFonts w:ascii="Times New Roman" w:hAnsi="Times New Roman" w:cs="Times New Roman"/>
          <w:sz w:val="28"/>
          <w:szCs w:val="28"/>
        </w:rPr>
        <w:t xml:space="preserve">одпунктам </w:t>
      </w:r>
      <w:r>
        <w:rPr>
          <w:rFonts w:ascii="Times New Roman" w:hAnsi="Times New Roman" w:cs="Times New Roman"/>
          <w:sz w:val="28"/>
          <w:szCs w:val="28"/>
        </w:rPr>
        <w:t xml:space="preserve"> «и»</w:t>
      </w:r>
      <w:r w:rsidR="00045B10">
        <w:rPr>
          <w:rFonts w:ascii="Times New Roman" w:hAnsi="Times New Roman" w:cs="Times New Roman"/>
          <w:sz w:val="28"/>
          <w:szCs w:val="28"/>
        </w:rPr>
        <w:t xml:space="preserve">, «ж» пункта 3 </w:t>
      </w:r>
      <w:r>
        <w:rPr>
          <w:rFonts w:ascii="Times New Roman" w:hAnsi="Times New Roman" w:cs="Times New Roman"/>
          <w:sz w:val="28"/>
          <w:szCs w:val="28"/>
        </w:rPr>
        <w:t xml:space="preserve"> Методики проведения антикоррупционной экспертизы 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и проектов нормативных правовых актов, утвержденной  постановлением Правительства Российской Федерации  от 26.02.2010 №96,   явля</w:t>
      </w:r>
      <w:r w:rsidR="00045B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r w:rsidR="00045B10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045B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45B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0FB" w:rsidRDefault="00DE70FB" w:rsidP="008A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DE70FB" w:rsidRDefault="00DE70FB" w:rsidP="008A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0FB" w:rsidRDefault="00DE70FB" w:rsidP="008A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DE70FB" w:rsidRDefault="00DE70FB" w:rsidP="008A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E70FB" w:rsidRDefault="00DE70FB" w:rsidP="008A414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DE70FB" w:rsidRDefault="00DE70FB" w:rsidP="008A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0FB" w:rsidRDefault="00045B10" w:rsidP="008A4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7AA0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0FB">
        <w:rPr>
          <w:rFonts w:ascii="Times New Roman" w:hAnsi="Times New Roman" w:cs="Times New Roman"/>
          <w:sz w:val="28"/>
          <w:szCs w:val="28"/>
        </w:rPr>
        <w:t xml:space="preserve"> марта   2019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DE70FB" w:rsidTr="00DE70FB">
        <w:tc>
          <w:tcPr>
            <w:tcW w:w="5244" w:type="dxa"/>
          </w:tcPr>
          <w:p w:rsidR="00DE70FB" w:rsidRDefault="00DE70FB" w:rsidP="008A414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E70FB" w:rsidRDefault="00DE70FB" w:rsidP="008A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0FB" w:rsidRDefault="00DE70FB" w:rsidP="008A4141">
      <w:pPr>
        <w:spacing w:after="0" w:line="240" w:lineRule="auto"/>
        <w:jc w:val="both"/>
      </w:pPr>
    </w:p>
    <w:p w:rsidR="00DE70FB" w:rsidRDefault="00DE70FB" w:rsidP="008A4141">
      <w:pPr>
        <w:jc w:val="both"/>
      </w:pPr>
    </w:p>
    <w:p w:rsidR="00DE70FB" w:rsidRDefault="00DE70FB" w:rsidP="008A4141">
      <w:pPr>
        <w:jc w:val="both"/>
      </w:pPr>
    </w:p>
    <w:p w:rsidR="0054665C" w:rsidRDefault="0054665C"/>
    <w:sectPr w:rsidR="0054665C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F5"/>
    <w:multiLevelType w:val="hybridMultilevel"/>
    <w:tmpl w:val="5A40AFC8"/>
    <w:lvl w:ilvl="0" w:tplc="374013A8">
      <w:start w:val="1"/>
      <w:numFmt w:val="decimal"/>
      <w:lvlText w:val="%1."/>
      <w:lvlJc w:val="left"/>
      <w:pPr>
        <w:ind w:left="990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742489"/>
    <w:multiLevelType w:val="hybridMultilevel"/>
    <w:tmpl w:val="6AD61DE8"/>
    <w:lvl w:ilvl="0" w:tplc="BEC63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FB"/>
    <w:rsid w:val="00045B10"/>
    <w:rsid w:val="0042001D"/>
    <w:rsid w:val="00436FBC"/>
    <w:rsid w:val="0054665C"/>
    <w:rsid w:val="00572461"/>
    <w:rsid w:val="006C7AA0"/>
    <w:rsid w:val="00787CBB"/>
    <w:rsid w:val="008A4141"/>
    <w:rsid w:val="00A51141"/>
    <w:rsid w:val="00BB53AF"/>
    <w:rsid w:val="00DE70FB"/>
    <w:rsid w:val="00E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E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E70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70FB"/>
    <w:pPr>
      <w:ind w:left="720"/>
      <w:contextualSpacing/>
    </w:pPr>
  </w:style>
  <w:style w:type="paragraph" w:customStyle="1" w:styleId="s1">
    <w:name w:val="s_1"/>
    <w:basedOn w:val="a"/>
    <w:rsid w:val="00DE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7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E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E70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70FB"/>
    <w:pPr>
      <w:ind w:left="720"/>
      <w:contextualSpacing/>
    </w:pPr>
  </w:style>
  <w:style w:type="paragraph" w:customStyle="1" w:styleId="s1">
    <w:name w:val="s_1"/>
    <w:basedOn w:val="a"/>
    <w:rsid w:val="00DE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cp:lastPrinted>2019-03-27T10:32:00Z</cp:lastPrinted>
  <dcterms:created xsi:type="dcterms:W3CDTF">2019-03-27T07:26:00Z</dcterms:created>
  <dcterms:modified xsi:type="dcterms:W3CDTF">2019-06-20T08:25:00Z</dcterms:modified>
</cp:coreProperties>
</file>